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B27946" w14:textId="2A8265BF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834832">
        <w:rPr>
          <w:rFonts w:ascii="Arial" w:hAnsi="Arial" w:cs="Arial"/>
          <w:b/>
          <w:bCs/>
          <w:sz w:val="22"/>
        </w:rPr>
        <w:t>3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>-</w:t>
      </w:r>
      <w:r w:rsidR="00663F3C">
        <w:rPr>
          <w:rFonts w:ascii="Arial" w:hAnsi="Arial" w:cs="Arial"/>
          <w:b/>
          <w:bCs/>
          <w:sz w:val="22"/>
        </w:rPr>
        <w:t>200</w:t>
      </w:r>
      <w:r w:rsidR="006577A6">
        <w:rPr>
          <w:rFonts w:ascii="Arial" w:hAnsi="Arial" w:cs="Arial"/>
          <w:b/>
          <w:bCs/>
          <w:sz w:val="22"/>
        </w:rPr>
        <w:t>8234</w:t>
      </w:r>
    </w:p>
    <w:p w14:paraId="54E348D2" w14:textId="1F4B8F4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e-Meeting, October 26 – November 13, 2020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21E65678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834832" w:rsidRPr="00B97F97">
        <w:rPr>
          <w:rFonts w:ascii="Arial" w:hAnsi="Arial" w:cs="Arial"/>
          <w:bCs/>
          <w:highlight w:val="yellow"/>
        </w:rPr>
        <w:t>[Draft]</w:t>
      </w:r>
      <w:r w:rsidR="00834832">
        <w:rPr>
          <w:rFonts w:ascii="Arial" w:hAnsi="Arial" w:cs="Arial"/>
          <w:bCs/>
        </w:rPr>
        <w:t xml:space="preserve"> 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355C76">
        <w:rPr>
          <w:rFonts w:ascii="Arial" w:hAnsi="Arial" w:cs="Arial"/>
          <w:bCs/>
        </w:rPr>
        <w:t>UE capability</w:t>
      </w:r>
      <w:r w:rsidR="00834832">
        <w:rPr>
          <w:rFonts w:ascii="Arial" w:hAnsi="Arial" w:cs="Arial"/>
          <w:bCs/>
        </w:rPr>
        <w:t xml:space="preserve"> for V2X</w:t>
      </w:r>
    </w:p>
    <w:p w14:paraId="135C37A0" w14:textId="4D2D70FC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A93A6D">
        <w:rPr>
          <w:rFonts w:ascii="Arial" w:hAnsi="Arial" w:cs="Arial"/>
          <w:bCs/>
        </w:rPr>
        <w:t>R2-2008</w:t>
      </w:r>
      <w:r w:rsidR="00834832">
        <w:rPr>
          <w:rFonts w:ascii="Arial" w:hAnsi="Arial" w:cs="Arial"/>
          <w:bCs/>
        </w:rPr>
        <w:t>350</w:t>
      </w:r>
    </w:p>
    <w:p w14:paraId="53CEA30E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39523730" w14:textId="77D0006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  <w:r w:rsidR="00A93A6D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2873D3F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834832">
        <w:rPr>
          <w:rFonts w:ascii="Arial" w:hAnsi="Arial" w:cs="Arial"/>
          <w:bCs/>
        </w:rPr>
        <w:t xml:space="preserve">OPPO </w:t>
      </w:r>
      <w:r w:rsidR="00834832" w:rsidRPr="00B97F97">
        <w:rPr>
          <w:rFonts w:ascii="Arial" w:hAnsi="Arial" w:cs="Arial"/>
          <w:bCs/>
          <w:highlight w:val="yellow"/>
        </w:rPr>
        <w:t>[</w:t>
      </w:r>
      <w:r w:rsidR="00B97F97" w:rsidRPr="00B97F97">
        <w:rPr>
          <w:rFonts w:ascii="Arial" w:hAnsi="Arial" w:cs="Arial"/>
          <w:bCs/>
          <w:highlight w:val="yellow"/>
        </w:rPr>
        <w:t xml:space="preserve">to be </w:t>
      </w:r>
      <w:r w:rsidRPr="00B97F97">
        <w:rPr>
          <w:rFonts w:ascii="Arial" w:hAnsi="Arial" w:cs="Arial"/>
          <w:bCs/>
          <w:highlight w:val="yellow"/>
        </w:rPr>
        <w:t>RAN</w:t>
      </w:r>
      <w:r w:rsidR="000A34D2" w:rsidRPr="00B97F97">
        <w:rPr>
          <w:rFonts w:ascii="Arial" w:hAnsi="Arial" w:cs="Arial"/>
          <w:bCs/>
          <w:highlight w:val="yellow"/>
        </w:rPr>
        <w:t>1</w:t>
      </w:r>
      <w:r w:rsidR="00834832" w:rsidRPr="00B97F97">
        <w:rPr>
          <w:rFonts w:ascii="Arial" w:hAnsi="Arial" w:cs="Arial"/>
          <w:bCs/>
          <w:highlight w:val="yellow"/>
        </w:rPr>
        <w:t>]</w:t>
      </w:r>
    </w:p>
    <w:p w14:paraId="17A3A91F" w14:textId="503FAEF2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</w:t>
      </w:r>
      <w:r w:rsidR="000A34D2">
        <w:rPr>
          <w:rFonts w:ascii="Arial" w:hAnsi="Arial" w:cs="Arial"/>
          <w:bCs/>
        </w:rPr>
        <w:t>2</w:t>
      </w:r>
    </w:p>
    <w:p w14:paraId="7C9BCC7F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9D5AD4">
        <w:rPr>
          <w:rFonts w:ascii="Arial" w:hAnsi="Arial" w:cs="Arial"/>
          <w:bCs/>
        </w:rPr>
        <w:t>RAN4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50FD9A0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437AD">
        <w:rPr>
          <w:rFonts w:ascii="Arial" w:hAnsi="Arial" w:cs="Arial"/>
          <w:b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150CC110" w:rsidR="006E797B" w:rsidRDefault="000A34D2" w:rsidP="0049023F">
      <w:pPr>
        <w:spacing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C317A0">
        <w:rPr>
          <w:rFonts w:ascii="Arial" w:eastAsiaTheme="minorEastAsia" w:hAnsi="Arial" w:cs="Arial"/>
          <w:lang w:eastAsia="zh-CN"/>
        </w:rPr>
        <w:t xml:space="preserve">RAN2’s LS </w:t>
      </w:r>
      <w:r w:rsidR="00441D13">
        <w:rPr>
          <w:rFonts w:ascii="Arial" w:eastAsiaTheme="minorEastAsia" w:hAnsi="Arial" w:cs="Arial"/>
          <w:lang w:eastAsia="zh-CN"/>
        </w:rPr>
        <w:t>in R2-</w:t>
      </w:r>
      <w:r w:rsidR="00A93A6D">
        <w:rPr>
          <w:rFonts w:ascii="Arial" w:eastAsiaTheme="minorEastAsia" w:hAnsi="Arial" w:cs="Arial"/>
          <w:lang w:eastAsia="zh-CN"/>
        </w:rPr>
        <w:t>2008</w:t>
      </w:r>
      <w:r w:rsidR="00834832">
        <w:rPr>
          <w:rFonts w:ascii="Arial" w:eastAsiaTheme="minorEastAsia" w:hAnsi="Arial" w:cs="Arial"/>
          <w:lang w:eastAsia="zh-CN"/>
        </w:rPr>
        <w:t>350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answer to the following question.</w:t>
      </w:r>
    </w:p>
    <w:p w14:paraId="15EF838D" w14:textId="77777777" w:rsidR="006E797B" w:rsidRPr="006E797B" w:rsidRDefault="006E797B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00523B48" w14:textId="77777777" w:rsidR="006E797B" w:rsidRPr="00EF3A88" w:rsidRDefault="006E797B" w:rsidP="00EF3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</w:pPr>
      <w:r w:rsidRPr="00EF3A88">
        <w:t>Note: configuration by NR Uu is not required to be supported in a band indicated with only the PC5 interface in 38.101-1 Table 5.2E-1</w:t>
      </w:r>
    </w:p>
    <w:p w14:paraId="5BBEC2D5" w14:textId="40454D61" w:rsidR="00834832" w:rsidRDefault="00834832" w:rsidP="00834832">
      <w:pPr>
        <w:spacing w:before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In RAN2’s understanding, network can configure sidelink parameters even for “</w:t>
      </w:r>
      <w:r w:rsidRPr="008A1A79">
        <w:rPr>
          <w:rFonts w:ascii="Arial" w:eastAsiaTheme="minorEastAsia" w:hAnsi="Arial" w:cs="Arial"/>
          <w:lang w:eastAsia="zh-CN"/>
        </w:rPr>
        <w:t>a band indicated with only the PC5 interface in 38.101-1 Table 5.2E</w:t>
      </w:r>
      <w:r>
        <w:rPr>
          <w:rFonts w:ascii="Arial" w:eastAsiaTheme="minorEastAsia" w:hAnsi="Arial" w:cs="Arial"/>
          <w:lang w:eastAsia="zh-CN"/>
        </w:rPr>
        <w:t>.1</w:t>
      </w:r>
      <w:r w:rsidRPr="008A1A79">
        <w:rPr>
          <w:rFonts w:ascii="Arial" w:eastAsiaTheme="minorEastAsia" w:hAnsi="Arial" w:cs="Arial"/>
          <w:lang w:eastAsia="zh-CN"/>
        </w:rPr>
        <w:t>-1</w:t>
      </w:r>
      <w:r>
        <w:rPr>
          <w:rFonts w:ascii="Arial" w:eastAsiaTheme="minorEastAsia" w:hAnsi="Arial" w:cs="Arial"/>
          <w:lang w:eastAsia="zh-CN"/>
        </w:rPr>
        <w:t>” (e.g., n47) from another band with Uu deployed in a cross-carrier manner, in “operator managed” g</w:t>
      </w:r>
      <w:r w:rsidRPr="008A1A79">
        <w:rPr>
          <w:rFonts w:ascii="Arial" w:eastAsiaTheme="minorEastAsia" w:hAnsi="Arial" w:cs="Arial"/>
          <w:lang w:eastAsia="zh-CN"/>
        </w:rPr>
        <w:t xml:space="preserve">eographical </w:t>
      </w:r>
      <w:r>
        <w:rPr>
          <w:rFonts w:ascii="Arial" w:eastAsiaTheme="minorEastAsia" w:hAnsi="Arial" w:cs="Arial"/>
          <w:lang w:eastAsia="zh-CN"/>
        </w:rPr>
        <w:t>a</w:t>
      </w:r>
      <w:r w:rsidRPr="008A1A79">
        <w:rPr>
          <w:rFonts w:ascii="Arial" w:eastAsiaTheme="minorEastAsia" w:hAnsi="Arial" w:cs="Arial"/>
          <w:lang w:eastAsia="zh-CN"/>
        </w:rPr>
        <w:t>rea(s)</w:t>
      </w:r>
      <w:r>
        <w:rPr>
          <w:rFonts w:ascii="Arial" w:eastAsiaTheme="minorEastAsia" w:hAnsi="Arial" w:cs="Arial"/>
          <w:lang w:eastAsia="zh-CN"/>
        </w:rPr>
        <w:t xml:space="preserve"> (as defined in TS 23.285 for LTE-V2X, and in TS 23.287 for NR</w:t>
      </w:r>
      <w:r>
        <w:rPr>
          <w:rFonts w:ascii="Arial" w:eastAsiaTheme="minorEastAsia" w:hAnsi="Arial" w:cs="Arial" w:hint="eastAsia"/>
          <w:lang w:eastAsia="zh-CN"/>
        </w:rPr>
        <w:t>-V2X</w:t>
      </w:r>
      <w:r>
        <w:rPr>
          <w:rFonts w:ascii="Arial" w:eastAsiaTheme="minorEastAsia" w:hAnsi="Arial" w:cs="Arial"/>
          <w:lang w:eastAsia="zh-CN"/>
        </w:rPr>
        <w:t>).</w:t>
      </w:r>
    </w:p>
    <w:p w14:paraId="306CD92A" w14:textId="1077B746" w:rsidR="00834832" w:rsidRDefault="00834832" w:rsidP="00834832">
      <w:pPr>
        <w:spacing w:before="120" w:after="100" w:afterAutospacing="1" w:line="276" w:lineRule="auto"/>
        <w:rPr>
          <w:rFonts w:ascii="Arial" w:eastAsia="Malgun Gothic" w:hAnsi="Arial" w:cs="Arial"/>
          <w:lang w:eastAsia="ko-KR"/>
        </w:rPr>
      </w:pPr>
      <w:r w:rsidRPr="006E797B">
        <w:rPr>
          <w:rFonts w:ascii="Arial" w:eastAsia="Malgun Gothic" w:hAnsi="Arial" w:cs="Arial"/>
          <w:b/>
          <w:lang w:eastAsia="ko-KR"/>
        </w:rPr>
        <w:t>Q</w:t>
      </w:r>
      <w:r>
        <w:rPr>
          <w:rFonts w:ascii="Arial" w:eastAsia="Malgun Gothic" w:hAnsi="Arial" w:cs="Arial"/>
          <w:b/>
          <w:lang w:eastAsia="ko-KR"/>
        </w:rPr>
        <w:t>uestion</w:t>
      </w:r>
      <w:r>
        <w:rPr>
          <w:rFonts w:ascii="Arial" w:eastAsia="Malgun Gothic" w:hAnsi="Arial" w:cs="Arial"/>
          <w:lang w:eastAsia="ko-KR"/>
        </w:rPr>
        <w:t xml:space="preserve">: </w:t>
      </w:r>
      <w:r w:rsidRPr="00424518">
        <w:rPr>
          <w:rFonts w:ascii="Arial" w:eastAsia="Malgun Gothic" w:hAnsi="Arial" w:cs="Arial"/>
          <w:lang w:eastAsia="ko-KR"/>
        </w:rPr>
        <w:t xml:space="preserve">RAN2 respectfully asks </w:t>
      </w:r>
      <w:r>
        <w:rPr>
          <w:rFonts w:ascii="Arial" w:eastAsia="Malgun Gothic" w:hAnsi="Arial" w:cs="Arial"/>
          <w:lang w:eastAsia="ko-KR"/>
        </w:rPr>
        <w:t xml:space="preserve">RAN1 to provide feedback on the above NOTE: whether it implies from UE perspective that the cross-carrier configuration by NR Uu for </w:t>
      </w:r>
      <w:r w:rsidRPr="008A1A79">
        <w:rPr>
          <w:rFonts w:ascii="Arial" w:eastAsiaTheme="minorEastAsia" w:hAnsi="Arial" w:cs="Arial"/>
          <w:lang w:eastAsia="zh-CN"/>
        </w:rPr>
        <w:t xml:space="preserve">a band </w:t>
      </w:r>
      <w:r>
        <w:rPr>
          <w:rFonts w:ascii="Arial" w:eastAsiaTheme="minorEastAsia" w:hAnsi="Arial" w:cs="Arial"/>
          <w:lang w:eastAsia="zh-CN"/>
        </w:rPr>
        <w:t>“</w:t>
      </w:r>
      <w:r w:rsidRPr="008A1A79">
        <w:rPr>
          <w:rFonts w:ascii="Arial" w:eastAsiaTheme="minorEastAsia" w:hAnsi="Arial" w:cs="Arial"/>
          <w:lang w:eastAsia="zh-CN"/>
        </w:rPr>
        <w:t>indicated with only the PC5 interface in 38.101-1 Table 5.2E</w:t>
      </w:r>
      <w:r>
        <w:rPr>
          <w:rFonts w:ascii="Arial" w:eastAsiaTheme="minorEastAsia" w:hAnsi="Arial" w:cs="Arial"/>
          <w:lang w:eastAsia="zh-CN"/>
        </w:rPr>
        <w:t>.1</w:t>
      </w:r>
      <w:r w:rsidRPr="008A1A79">
        <w:rPr>
          <w:rFonts w:ascii="Arial" w:eastAsiaTheme="minorEastAsia" w:hAnsi="Arial" w:cs="Arial"/>
          <w:lang w:eastAsia="zh-CN"/>
        </w:rPr>
        <w:t>-1</w:t>
      </w:r>
      <w:r>
        <w:rPr>
          <w:rFonts w:ascii="Arial" w:eastAsiaTheme="minorEastAsia" w:hAnsi="Arial" w:cs="Arial"/>
          <w:lang w:eastAsia="zh-CN"/>
        </w:rPr>
        <w:t xml:space="preserve">” (e.g., n47) </w:t>
      </w:r>
      <w:r w:rsidRPr="006E4B61">
        <w:rPr>
          <w:rFonts w:ascii="Arial" w:eastAsiaTheme="minorEastAsia" w:hAnsi="Arial" w:cs="Arial"/>
          <w:lang w:eastAsia="zh-CN"/>
        </w:rPr>
        <w:t>is not required to be supported</w:t>
      </w:r>
      <w:r>
        <w:rPr>
          <w:rFonts w:ascii="Arial" w:eastAsiaTheme="minorEastAsia" w:hAnsi="Arial" w:cs="Arial"/>
          <w:lang w:eastAsia="zh-CN"/>
        </w:rPr>
        <w:t xml:space="preserve"> by a UE in NR sidelink”?</w:t>
      </w:r>
    </w:p>
    <w:p w14:paraId="0BB07A2A" w14:textId="13326AF4" w:rsidR="00834832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70C0"/>
          <w:lang w:eastAsia="ko-KR"/>
        </w:rPr>
      </w:pPr>
      <w:r w:rsidRPr="00C317A0">
        <w:rPr>
          <w:rFonts w:ascii="Arial" w:eastAsia="Malgun Gothic" w:hAnsi="Arial" w:cs="Arial"/>
          <w:b/>
          <w:bCs/>
          <w:color w:val="0070C0"/>
          <w:lang w:eastAsia="ko-KR"/>
        </w:rPr>
        <w:t>Answer</w:t>
      </w:r>
      <w:r w:rsidRPr="00C317A0">
        <w:rPr>
          <w:rFonts w:ascii="Arial" w:eastAsia="Malgun Gothic" w:hAnsi="Arial" w:cs="Arial"/>
          <w:color w:val="0070C0"/>
          <w:lang w:eastAsia="ko-KR"/>
        </w:rPr>
        <w:t xml:space="preserve">: </w:t>
      </w:r>
      <w:r w:rsidR="004D75C4">
        <w:rPr>
          <w:rFonts w:ascii="Arial" w:eastAsia="Malgun Gothic" w:hAnsi="Arial" w:cs="Arial"/>
          <w:color w:val="0070C0"/>
          <w:lang w:eastAsia="ko-KR"/>
        </w:rPr>
        <w:t>In order to support NR Uu configuration in a cross-carrier manner for bands indicated with only the PC5 interface, the note will be updated in the next version of RAN1 UE features list for NR and LTE as “</w:t>
      </w:r>
      <w:r w:rsidR="004D75C4" w:rsidRPr="004914D2">
        <w:rPr>
          <w:rFonts w:ascii="Arial" w:eastAsia="Malgun Gothic" w:hAnsi="Arial" w:cs="Arial"/>
          <w:color w:val="000000" w:themeColor="text1"/>
          <w:lang w:eastAsia="ko-KR"/>
        </w:rPr>
        <w:t xml:space="preserve">Note: configuration by NR Uu is not required to be supported in band indicated with only the PC5 interface in 38.101-1 Table 5.2E.1-1 </w:t>
      </w:r>
      <w:r w:rsidR="004D75C4" w:rsidRPr="00602358">
        <w:rPr>
          <w:rFonts w:ascii="Arial" w:eastAsia="Malgun Gothic" w:hAnsi="Arial" w:cs="Arial"/>
          <w:color w:val="FF0000"/>
          <w:lang w:eastAsia="ko-KR"/>
        </w:rPr>
        <w:t>in a non-operator managed geographical are</w:t>
      </w:r>
      <w:r w:rsidR="00602358" w:rsidRPr="00602358">
        <w:rPr>
          <w:rFonts w:ascii="Arial" w:eastAsia="Malgun Gothic" w:hAnsi="Arial" w:cs="Arial"/>
          <w:color w:val="FF0000"/>
          <w:lang w:eastAsia="ko-KR"/>
        </w:rPr>
        <w:t>a</w:t>
      </w:r>
      <w:r w:rsidR="00602358" w:rsidRPr="004914D2">
        <w:rPr>
          <w:rFonts w:ascii="Arial" w:eastAsia="Malgun Gothic" w:hAnsi="Arial" w:cs="Arial"/>
          <w:color w:val="000000" w:themeColor="text1"/>
          <w:lang w:eastAsia="ko-KR"/>
        </w:rPr>
        <w:t>.</w:t>
      </w:r>
      <w:r w:rsidR="004D75C4">
        <w:rPr>
          <w:rFonts w:ascii="Arial" w:eastAsia="Malgun Gothic" w:hAnsi="Arial" w:cs="Arial"/>
          <w:color w:val="0070C0"/>
          <w:lang w:eastAsia="ko-KR"/>
        </w:rPr>
        <w:t>”</w:t>
      </w:r>
    </w:p>
    <w:p w14:paraId="07262AF6" w14:textId="472BB1C9" w:rsidR="00602358" w:rsidRDefault="00602358" w:rsidP="00602358">
      <w:pPr>
        <w:spacing w:after="60" w:line="276" w:lineRule="auto"/>
        <w:rPr>
          <w:rFonts w:ascii="Arial" w:eastAsia="Malgun Gothic" w:hAnsi="Arial" w:cs="Arial"/>
          <w:color w:val="0070C0"/>
          <w:lang w:eastAsia="ko-KR"/>
        </w:rPr>
      </w:pPr>
      <w:r>
        <w:rPr>
          <w:rFonts w:ascii="Arial" w:eastAsia="Malgun Gothic" w:hAnsi="Arial" w:cs="Arial"/>
          <w:color w:val="0070C0"/>
          <w:lang w:eastAsia="ko-KR"/>
        </w:rPr>
        <w:t>In addition, the followings will also be updated in FG 15-2:</w:t>
      </w:r>
    </w:p>
    <w:p w14:paraId="723B9D06" w14:textId="725037D8" w:rsidR="00602358" w:rsidRDefault="00602358" w:rsidP="00602358">
      <w:pPr>
        <w:pStyle w:val="ListParagraph"/>
        <w:numPr>
          <w:ilvl w:val="0"/>
          <w:numId w:val="16"/>
        </w:numPr>
        <w:spacing w:after="120" w:line="276" w:lineRule="auto"/>
        <w:ind w:leftChars="0"/>
        <w:rPr>
          <w:rFonts w:ascii="Arial" w:eastAsia="Malgun Gothic" w:hAnsi="Arial" w:cs="Arial"/>
          <w:color w:val="0070C0"/>
          <w:lang w:eastAsia="ko-KR"/>
        </w:rPr>
      </w:pPr>
      <w:r w:rsidRPr="00602358">
        <w:rPr>
          <w:rFonts w:ascii="Arial" w:eastAsia="Malgun Gothic" w:hAnsi="Arial" w:cs="Arial"/>
          <w:color w:val="0070C0"/>
          <w:lang w:eastAsia="ko-KR"/>
        </w:rPr>
        <w:t>the note in the Notes column “</w:t>
      </w:r>
      <w:r w:rsidRPr="004914D2">
        <w:rPr>
          <w:rFonts w:ascii="Arial" w:eastAsia="Malgun Gothic" w:hAnsi="Arial" w:cs="Arial"/>
          <w:color w:val="000000" w:themeColor="text1"/>
          <w:lang w:eastAsia="ko-KR"/>
        </w:rPr>
        <w:t xml:space="preserve">This is the basic FG for sidelink in </w:t>
      </w:r>
      <w:r w:rsidRPr="00602358">
        <w:rPr>
          <w:rFonts w:ascii="Arial" w:eastAsia="Malgun Gothic" w:hAnsi="Arial" w:cs="Arial"/>
          <w:strike/>
          <w:color w:val="FF0000"/>
          <w:lang w:eastAsia="ko-KR"/>
        </w:rPr>
        <w:t>licensed</w:t>
      </w:r>
      <w:r w:rsidRPr="004914D2">
        <w:rPr>
          <w:rFonts w:ascii="Arial" w:eastAsia="Malgun Gothic" w:hAnsi="Arial" w:cs="Arial"/>
          <w:color w:val="000000" w:themeColor="text1"/>
          <w:lang w:eastAsia="ko-KR"/>
        </w:rPr>
        <w:t xml:space="preserve"> spectrum where gNB is operating on or managing that spectrum and optional FG otherwise</w:t>
      </w:r>
      <w:r w:rsidRPr="00602358">
        <w:rPr>
          <w:rFonts w:ascii="Arial" w:eastAsia="Malgun Gothic" w:hAnsi="Arial" w:cs="Arial"/>
          <w:color w:val="0070C0"/>
          <w:lang w:eastAsia="ko-KR"/>
        </w:rPr>
        <w:t>”, and</w:t>
      </w:r>
    </w:p>
    <w:p w14:paraId="311AEF83" w14:textId="004F27CA" w:rsidR="00602358" w:rsidRPr="00602358" w:rsidRDefault="00602358" w:rsidP="00602358">
      <w:pPr>
        <w:pStyle w:val="ListParagraph"/>
        <w:numPr>
          <w:ilvl w:val="0"/>
          <w:numId w:val="16"/>
        </w:numPr>
        <w:spacing w:after="120" w:line="276" w:lineRule="auto"/>
        <w:ind w:leftChars="0"/>
        <w:rPr>
          <w:rFonts w:ascii="Arial" w:eastAsia="Malgun Gothic" w:hAnsi="Arial" w:cs="Arial"/>
          <w:color w:val="0070C0"/>
          <w:lang w:eastAsia="ko-KR"/>
        </w:rPr>
      </w:pPr>
      <w:r w:rsidRPr="00602358">
        <w:rPr>
          <w:rFonts w:ascii="Arial" w:eastAsia="Malgun Gothic" w:hAnsi="Arial" w:cs="Arial"/>
          <w:color w:val="0070C0"/>
          <w:lang w:eastAsia="ko-KR"/>
        </w:rPr>
        <w:t>the Mandatory/Optional column “</w:t>
      </w:r>
      <w:r w:rsidRPr="004914D2">
        <w:rPr>
          <w:rFonts w:ascii="Arial" w:eastAsia="Malgun Gothic" w:hAnsi="Arial" w:cs="Arial"/>
          <w:color w:val="000000" w:themeColor="text1"/>
          <w:lang w:eastAsia="ko-KR"/>
        </w:rPr>
        <w:t xml:space="preserve">Optional with capability signalling. For UE supports NR sidelink in </w:t>
      </w:r>
      <w:r w:rsidRPr="00602358">
        <w:rPr>
          <w:rFonts w:ascii="Arial" w:eastAsia="Malgun Gothic" w:hAnsi="Arial" w:cs="Arial"/>
          <w:strike/>
          <w:color w:val="FF0000"/>
          <w:lang w:eastAsia="ko-KR"/>
        </w:rPr>
        <w:t>licensed</w:t>
      </w:r>
      <w:r w:rsidRPr="004914D2">
        <w:rPr>
          <w:rFonts w:ascii="Arial" w:eastAsia="Malgun Gothic" w:hAnsi="Arial" w:cs="Arial"/>
          <w:color w:val="000000" w:themeColor="text1"/>
          <w:lang w:eastAsia="ko-KR"/>
        </w:rPr>
        <w:t xml:space="preserve"> spectrum where gNB is defined </w:t>
      </w:r>
      <w:r w:rsidRPr="00494978">
        <w:rPr>
          <w:rFonts w:ascii="Arial" w:eastAsia="Malgun Gothic" w:hAnsi="Arial" w:cs="Arial"/>
          <w:color w:val="FF0000"/>
          <w:u w:val="single"/>
          <w:lang w:eastAsia="ko-KR"/>
        </w:rPr>
        <w:t>or managed</w:t>
      </w:r>
      <w:r w:rsidRPr="004914D2">
        <w:rPr>
          <w:rFonts w:ascii="Arial" w:eastAsia="Malgun Gothic" w:hAnsi="Arial" w:cs="Arial"/>
          <w:color w:val="000000" w:themeColor="text1"/>
          <w:lang w:eastAsia="ko-KR"/>
        </w:rPr>
        <w:t>, UE must indicate this FG is supported.</w:t>
      </w:r>
      <w:r w:rsidRPr="00602358">
        <w:rPr>
          <w:rFonts w:ascii="Arial" w:eastAsia="Malgun Gothic" w:hAnsi="Arial" w:cs="Arial"/>
          <w:color w:val="0070C0"/>
          <w:lang w:eastAsia="ko-KR"/>
        </w:rPr>
        <w:t>”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234F999B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23DE4805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5E0646"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</w:t>
      </w:r>
      <w:r w:rsidR="00681267">
        <w:rPr>
          <w:rFonts w:ascii="Arial" w:hAnsi="Arial" w:cs="Arial"/>
          <w:lang w:eastAsia="zh-CN"/>
        </w:rPr>
        <w:t>s</w:t>
      </w:r>
      <w:r w:rsidR="00E07144">
        <w:rPr>
          <w:rFonts w:ascii="Arial" w:hAnsi="Arial" w:cs="Arial"/>
          <w:lang w:eastAsia="zh-CN"/>
        </w:rPr>
        <w:t xml:space="preserve"> into account in the</w:t>
      </w:r>
      <w:r w:rsidR="007453EE">
        <w:rPr>
          <w:rFonts w:ascii="Arial" w:hAnsi="Arial" w:cs="Arial"/>
          <w:lang w:eastAsia="zh-CN"/>
        </w:rPr>
        <w:t>ir</w:t>
      </w:r>
      <w:r w:rsidR="00E07144">
        <w:rPr>
          <w:rFonts w:ascii="Arial" w:hAnsi="Arial" w:cs="Arial"/>
          <w:lang w:eastAsia="zh-CN"/>
        </w:rPr>
        <w:t xml:space="preserve">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67BF2AD5" w:rsidR="008B77EC" w:rsidRPr="004914D2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602358" w:rsidRPr="004914D2">
        <w:rPr>
          <w:rFonts w:ascii="Arial" w:hAnsi="Arial" w:cs="Arial"/>
          <w:bCs/>
          <w:color w:val="000000" w:themeColor="text1"/>
        </w:rPr>
        <w:t>4</w:t>
      </w:r>
      <w:r w:rsidR="002C2953" w:rsidRPr="004914D2">
        <w:rPr>
          <w:rFonts w:ascii="Arial" w:hAnsi="Arial" w:cs="Arial"/>
          <w:bCs/>
          <w:color w:val="000000" w:themeColor="text1"/>
        </w:rPr>
        <w:t>-e</w:t>
      </w:r>
      <w:r w:rsidR="008B77EC"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>2</w:t>
      </w:r>
      <w:r w:rsidR="004914D2" w:rsidRPr="004914D2">
        <w:rPr>
          <w:rFonts w:ascii="Arial" w:hAnsi="Arial" w:cs="Arial"/>
          <w:bCs/>
          <w:color w:val="000000" w:themeColor="text1"/>
        </w:rPr>
        <w:t>5</w:t>
      </w:r>
      <w:r w:rsidR="00067DD8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</w:rPr>
        <w:t>January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- </w:t>
      </w:r>
      <w:r w:rsidR="004914D2" w:rsidRPr="004914D2">
        <w:rPr>
          <w:rFonts w:ascii="Arial" w:hAnsi="Arial" w:cs="Arial"/>
          <w:bCs/>
          <w:color w:val="000000" w:themeColor="text1"/>
        </w:rPr>
        <w:t>05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eastAsia="Malgun Gothic" w:hAnsi="Arial" w:cs="Arial"/>
          <w:bCs/>
          <w:color w:val="000000" w:themeColor="text1"/>
          <w:lang w:eastAsia="ko-KR"/>
        </w:rPr>
        <w:t>February</w:t>
      </w:r>
      <w:r w:rsidR="002C2953"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="002C2953" w:rsidRPr="004914D2">
        <w:rPr>
          <w:rFonts w:ascii="Arial" w:hAnsi="Arial" w:cs="Arial"/>
          <w:bCs/>
          <w:color w:val="000000" w:themeColor="text1"/>
        </w:rPr>
        <w:t>202</w:t>
      </w:r>
      <w:r w:rsidR="004914D2" w:rsidRPr="004914D2">
        <w:rPr>
          <w:rFonts w:ascii="Arial" w:hAnsi="Arial" w:cs="Arial"/>
          <w:bCs/>
          <w:color w:val="000000" w:themeColor="text1"/>
        </w:rPr>
        <w:t>1</w:t>
      </w:r>
      <w:r w:rsidR="002C2953" w:rsidRPr="004914D2">
        <w:rPr>
          <w:rFonts w:ascii="Arial" w:hAnsi="Arial" w:cs="Arial"/>
          <w:bCs/>
          <w:color w:val="000000" w:themeColor="text1"/>
        </w:rPr>
        <w:t xml:space="preserve">   </w:t>
      </w:r>
      <w:r w:rsidR="002C2953" w:rsidRPr="004914D2">
        <w:rPr>
          <w:rFonts w:ascii="Arial" w:hAnsi="Arial" w:cs="Arial"/>
          <w:bCs/>
          <w:color w:val="000000" w:themeColor="text1"/>
        </w:rPr>
        <w:tab/>
      </w:r>
      <w:r w:rsidR="00E07144" w:rsidRPr="004914D2">
        <w:rPr>
          <w:rFonts w:ascii="Arial" w:hAnsi="Arial" w:cs="Arial"/>
          <w:bCs/>
          <w:color w:val="000000" w:themeColor="text1"/>
        </w:rPr>
        <w:t>E-Meeting</w:t>
      </w:r>
    </w:p>
    <w:p w14:paraId="25AA883B" w14:textId="706C2833" w:rsidR="00C1745E" w:rsidRPr="004914D2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lastRenderedPageBreak/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sectPr w:rsidR="00C1745E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3C5FD0" w14:textId="77777777" w:rsidR="00D32C67" w:rsidRDefault="00D32C67">
      <w:r>
        <w:separator/>
      </w:r>
    </w:p>
  </w:endnote>
  <w:endnote w:type="continuationSeparator" w:id="0">
    <w:p w14:paraId="4FD4A3EB" w14:textId="77777777" w:rsidR="00D32C67" w:rsidRDefault="00D3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BADB45" w14:textId="77777777" w:rsidR="00D32C67" w:rsidRDefault="00D32C67">
      <w:r>
        <w:separator/>
      </w:r>
    </w:p>
  </w:footnote>
  <w:footnote w:type="continuationSeparator" w:id="0">
    <w:p w14:paraId="5BBCB480" w14:textId="77777777" w:rsidR="00D32C67" w:rsidRDefault="00D32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F4A81"/>
    <w:rsid w:val="00A2058D"/>
    <w:rsid w:val="00A33946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28FC"/>
    <w:rsid w:val="00CD517E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Kevin Lin</cp:lastModifiedBy>
  <cp:revision>9</cp:revision>
  <cp:lastPrinted>2002-04-23T01:10:00Z</cp:lastPrinted>
  <dcterms:created xsi:type="dcterms:W3CDTF">2020-08-28T21:58:00Z</dcterms:created>
  <dcterms:modified xsi:type="dcterms:W3CDTF">2020-10-16T06:40:00Z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